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33C87" w14:textId="77777777" w:rsidR="00612F1F" w:rsidRPr="00735D34" w:rsidRDefault="00735D34" w:rsidP="00735D34">
      <w:pPr>
        <w:jc w:val="center"/>
        <w:rPr>
          <w:b/>
          <w:sz w:val="28"/>
          <w:szCs w:val="28"/>
        </w:rPr>
      </w:pPr>
      <w:bookmarkStart w:id="0" w:name="_GoBack"/>
      <w:bookmarkEnd w:id="0"/>
      <w:r w:rsidRPr="00735D34">
        <w:rPr>
          <w:b/>
          <w:sz w:val="28"/>
          <w:szCs w:val="28"/>
        </w:rPr>
        <w:t>2017-18 BUDGET REPORT</w:t>
      </w:r>
    </w:p>
    <w:p w14:paraId="2155F9E9" w14:textId="77777777" w:rsidR="00735D34" w:rsidRPr="00735D34" w:rsidRDefault="00735D34" w:rsidP="00735D34">
      <w:pPr>
        <w:jc w:val="center"/>
        <w:rPr>
          <w:b/>
          <w:sz w:val="28"/>
          <w:szCs w:val="28"/>
        </w:rPr>
      </w:pPr>
      <w:r w:rsidRPr="00735D34">
        <w:rPr>
          <w:b/>
          <w:sz w:val="28"/>
          <w:szCs w:val="28"/>
        </w:rPr>
        <w:t>WITH PROPOSED JULY/AUGUST BUDGET</w:t>
      </w:r>
    </w:p>
    <w:p w14:paraId="7A612493" w14:textId="77777777" w:rsidR="00735D34" w:rsidRPr="00735D34" w:rsidRDefault="00735D34" w:rsidP="00735D34">
      <w:pPr>
        <w:jc w:val="center"/>
        <w:rPr>
          <w:b/>
          <w:sz w:val="36"/>
          <w:szCs w:val="36"/>
        </w:rPr>
      </w:pPr>
      <w:r w:rsidRPr="00735D34">
        <w:rPr>
          <w:b/>
          <w:sz w:val="36"/>
          <w:szCs w:val="36"/>
        </w:rPr>
        <w:t>REVIEW GUIDE</w:t>
      </w:r>
    </w:p>
    <w:p w14:paraId="7BC51FCC" w14:textId="77777777" w:rsidR="00735D34" w:rsidRDefault="00735D34" w:rsidP="00735D34">
      <w:pPr>
        <w:jc w:val="center"/>
        <w:rPr>
          <w:sz w:val="36"/>
          <w:szCs w:val="36"/>
        </w:rPr>
      </w:pPr>
    </w:p>
    <w:p w14:paraId="5461D3D0" w14:textId="77777777" w:rsidR="00735D34" w:rsidRDefault="00735D34" w:rsidP="00735D34">
      <w:pPr>
        <w:rPr>
          <w:sz w:val="28"/>
          <w:szCs w:val="28"/>
        </w:rPr>
      </w:pPr>
      <w:r>
        <w:rPr>
          <w:sz w:val="28"/>
          <w:szCs w:val="28"/>
        </w:rPr>
        <w:t xml:space="preserve">Basically, what you are looking at is </w:t>
      </w:r>
      <w:r w:rsidRPr="00735D34">
        <w:rPr>
          <w:sz w:val="28"/>
          <w:szCs w:val="28"/>
        </w:rPr>
        <w:t xml:space="preserve">a </w:t>
      </w:r>
      <w:r>
        <w:rPr>
          <w:sz w:val="28"/>
          <w:szCs w:val="28"/>
        </w:rPr>
        <w:t>profit and loss (</w:t>
      </w:r>
      <w:r w:rsidRPr="00735D34">
        <w:rPr>
          <w:sz w:val="28"/>
          <w:szCs w:val="28"/>
        </w:rPr>
        <w:t>P/L</w:t>
      </w:r>
      <w:r>
        <w:rPr>
          <w:sz w:val="28"/>
          <w:szCs w:val="28"/>
        </w:rPr>
        <w:t>)</w:t>
      </w:r>
      <w:r w:rsidRPr="00735D34">
        <w:rPr>
          <w:sz w:val="28"/>
          <w:szCs w:val="28"/>
        </w:rPr>
        <w:t xml:space="preserve"> report WITH </w:t>
      </w:r>
      <w:r>
        <w:rPr>
          <w:sz w:val="28"/>
          <w:szCs w:val="28"/>
        </w:rPr>
        <w:t xml:space="preserve">the </w:t>
      </w:r>
      <w:r w:rsidRPr="00735D34">
        <w:rPr>
          <w:sz w:val="28"/>
          <w:szCs w:val="28"/>
        </w:rPr>
        <w:t xml:space="preserve">proposed </w:t>
      </w:r>
      <w:r>
        <w:rPr>
          <w:sz w:val="28"/>
          <w:szCs w:val="28"/>
        </w:rPr>
        <w:t xml:space="preserve">July/August </w:t>
      </w:r>
      <w:r w:rsidRPr="00735D34">
        <w:rPr>
          <w:sz w:val="28"/>
          <w:szCs w:val="28"/>
        </w:rPr>
        <w:t xml:space="preserve">budget integrated </w:t>
      </w:r>
      <w:r>
        <w:rPr>
          <w:sz w:val="28"/>
          <w:szCs w:val="28"/>
        </w:rPr>
        <w:t xml:space="preserve">into it </w:t>
      </w:r>
      <w:r w:rsidRPr="00735D34">
        <w:rPr>
          <w:sz w:val="28"/>
          <w:szCs w:val="28"/>
        </w:rPr>
        <w:t>for ease of use</w:t>
      </w:r>
      <w:r>
        <w:rPr>
          <w:sz w:val="28"/>
          <w:szCs w:val="28"/>
        </w:rPr>
        <w:t xml:space="preserve"> (so you don’t have to go back and forth between two or three documents</w:t>
      </w:r>
      <w:r w:rsidRPr="00735D34">
        <w:rPr>
          <w:sz w:val="28"/>
          <w:szCs w:val="28"/>
        </w:rPr>
        <w:t>)</w:t>
      </w:r>
      <w:r>
        <w:rPr>
          <w:sz w:val="28"/>
          <w:szCs w:val="28"/>
        </w:rPr>
        <w:t>. The information on 2017-18 provides the needed context to create a rational budget for July/August – SO, start with the P/L report (columns 1-6) before looking at the proposed July/August budget (column 7).</w:t>
      </w:r>
    </w:p>
    <w:p w14:paraId="4807B265" w14:textId="77777777" w:rsidR="00735D34" w:rsidRDefault="00735D34" w:rsidP="00735D34">
      <w:pPr>
        <w:rPr>
          <w:sz w:val="28"/>
          <w:szCs w:val="28"/>
        </w:rPr>
      </w:pPr>
    </w:p>
    <w:p w14:paraId="6A53B2BE" w14:textId="77777777" w:rsidR="00735D34" w:rsidRPr="00481C19" w:rsidRDefault="00735D34" w:rsidP="00735D34">
      <w:pPr>
        <w:rPr>
          <w:b/>
          <w:sz w:val="28"/>
          <w:szCs w:val="28"/>
        </w:rPr>
      </w:pPr>
      <w:r w:rsidRPr="00481C19">
        <w:rPr>
          <w:b/>
          <w:sz w:val="28"/>
          <w:szCs w:val="28"/>
        </w:rPr>
        <w:t>For the P/L report…</w:t>
      </w:r>
    </w:p>
    <w:p w14:paraId="27FD0C00" w14:textId="77777777" w:rsidR="00735D34" w:rsidRDefault="00735D34" w:rsidP="00735D34">
      <w:pPr>
        <w:pStyle w:val="ListParagraph"/>
        <w:numPr>
          <w:ilvl w:val="0"/>
          <w:numId w:val="1"/>
        </w:numPr>
        <w:rPr>
          <w:sz w:val="28"/>
          <w:szCs w:val="28"/>
        </w:rPr>
      </w:pPr>
      <w:r>
        <w:rPr>
          <w:sz w:val="28"/>
          <w:szCs w:val="28"/>
        </w:rPr>
        <w:t>Column descriptions</w:t>
      </w:r>
    </w:p>
    <w:p w14:paraId="31C221D6" w14:textId="77777777" w:rsidR="00735D34" w:rsidRDefault="00735D34" w:rsidP="00735D34">
      <w:pPr>
        <w:pStyle w:val="ListParagraph"/>
        <w:numPr>
          <w:ilvl w:val="1"/>
          <w:numId w:val="1"/>
        </w:numPr>
        <w:rPr>
          <w:sz w:val="28"/>
          <w:szCs w:val="28"/>
        </w:rPr>
      </w:pPr>
      <w:r>
        <w:rPr>
          <w:sz w:val="28"/>
          <w:szCs w:val="28"/>
        </w:rPr>
        <w:t>Column 4 changes as new expenses and revenues arrive; it is updated through April 19 (and will be updated through May 11 for the Board meeting)</w:t>
      </w:r>
    </w:p>
    <w:p w14:paraId="7F98CD4E" w14:textId="77777777" w:rsidR="00735D34" w:rsidRDefault="00735D34" w:rsidP="00735D34">
      <w:pPr>
        <w:pStyle w:val="ListParagraph"/>
        <w:numPr>
          <w:ilvl w:val="1"/>
          <w:numId w:val="1"/>
        </w:numPr>
        <w:rPr>
          <w:sz w:val="28"/>
          <w:szCs w:val="28"/>
        </w:rPr>
      </w:pPr>
      <w:r>
        <w:rPr>
          <w:sz w:val="28"/>
          <w:szCs w:val="28"/>
        </w:rPr>
        <w:t>Column 5 adds revenues and expenses that can be reasonably anticipated through June 30, to predict where we’ll end up at the end of the fiscal year</w:t>
      </w:r>
    </w:p>
    <w:p w14:paraId="24091CE1" w14:textId="77777777" w:rsidR="00735D34" w:rsidRPr="00735D34" w:rsidRDefault="00735D34" w:rsidP="00735D34">
      <w:pPr>
        <w:pStyle w:val="ListParagraph"/>
        <w:numPr>
          <w:ilvl w:val="1"/>
          <w:numId w:val="1"/>
        </w:numPr>
        <w:rPr>
          <w:sz w:val="28"/>
          <w:szCs w:val="28"/>
        </w:rPr>
      </w:pPr>
      <w:r>
        <w:rPr>
          <w:sz w:val="28"/>
          <w:szCs w:val="28"/>
        </w:rPr>
        <w:t xml:space="preserve">Column 6 equals </w:t>
      </w:r>
      <w:r w:rsidR="00C84E5D">
        <w:rPr>
          <w:sz w:val="28"/>
          <w:szCs w:val="28"/>
        </w:rPr>
        <w:t>Column 5 divided by Column 3; percentages over 100 indicate expected revenues/expenses will exceed what was budgeted, those under 100 indicate revenues/expenses will end up less than what was budgeted</w:t>
      </w:r>
    </w:p>
    <w:p w14:paraId="0CA59AD0" w14:textId="77777777" w:rsidR="00735D34" w:rsidRDefault="00735D34" w:rsidP="00735D34">
      <w:pPr>
        <w:pStyle w:val="ListParagraph"/>
        <w:numPr>
          <w:ilvl w:val="0"/>
          <w:numId w:val="1"/>
        </w:numPr>
        <w:rPr>
          <w:sz w:val="28"/>
          <w:szCs w:val="28"/>
        </w:rPr>
      </w:pPr>
      <w:r>
        <w:rPr>
          <w:sz w:val="28"/>
          <w:szCs w:val="28"/>
        </w:rPr>
        <w:t>Row descriptions</w:t>
      </w:r>
    </w:p>
    <w:p w14:paraId="4830E472" w14:textId="5C6FF0F7" w:rsidR="00735D34" w:rsidRDefault="00DE0274" w:rsidP="00735D34">
      <w:pPr>
        <w:pStyle w:val="ListParagraph"/>
        <w:numPr>
          <w:ilvl w:val="1"/>
          <w:numId w:val="1"/>
        </w:numPr>
        <w:rPr>
          <w:sz w:val="28"/>
          <w:szCs w:val="28"/>
        </w:rPr>
      </w:pPr>
      <w:r>
        <w:rPr>
          <w:sz w:val="28"/>
          <w:szCs w:val="28"/>
        </w:rPr>
        <w:t>Note that item 5018 (conference revenues) matches the</w:t>
      </w:r>
      <w:r w:rsidR="005F2280">
        <w:rPr>
          <w:sz w:val="28"/>
          <w:szCs w:val="28"/>
        </w:rPr>
        <w:t xml:space="preserve"> “total</w:t>
      </w:r>
      <w:r>
        <w:rPr>
          <w:sz w:val="28"/>
          <w:szCs w:val="28"/>
        </w:rPr>
        <w:t xml:space="preserve"> revenue</w:t>
      </w:r>
      <w:r w:rsidR="005F2280">
        <w:rPr>
          <w:sz w:val="28"/>
          <w:szCs w:val="28"/>
        </w:rPr>
        <w:t>s”</w:t>
      </w:r>
      <w:r>
        <w:rPr>
          <w:sz w:val="28"/>
          <w:szCs w:val="28"/>
        </w:rPr>
        <w:t xml:space="preserve"> line in the itemized conference budget (page 4)</w:t>
      </w:r>
    </w:p>
    <w:p w14:paraId="3EF3F45F" w14:textId="5A6E2C4F" w:rsidR="00DE0274" w:rsidRDefault="00DE0274" w:rsidP="00735D34">
      <w:pPr>
        <w:pStyle w:val="ListParagraph"/>
        <w:numPr>
          <w:ilvl w:val="1"/>
          <w:numId w:val="1"/>
        </w:numPr>
        <w:rPr>
          <w:sz w:val="28"/>
          <w:szCs w:val="28"/>
        </w:rPr>
      </w:pPr>
      <w:r>
        <w:rPr>
          <w:sz w:val="28"/>
          <w:szCs w:val="28"/>
        </w:rPr>
        <w:t xml:space="preserve">Note that item 818 (conference expenses) matches the </w:t>
      </w:r>
      <w:r w:rsidR="005F2280">
        <w:rPr>
          <w:sz w:val="28"/>
          <w:szCs w:val="28"/>
        </w:rPr>
        <w:t xml:space="preserve">“total </w:t>
      </w:r>
      <w:r>
        <w:rPr>
          <w:sz w:val="28"/>
          <w:szCs w:val="28"/>
        </w:rPr>
        <w:t>expense</w:t>
      </w:r>
      <w:r w:rsidR="005F2280">
        <w:rPr>
          <w:sz w:val="28"/>
          <w:szCs w:val="28"/>
        </w:rPr>
        <w:t>s”</w:t>
      </w:r>
      <w:r>
        <w:rPr>
          <w:sz w:val="28"/>
          <w:szCs w:val="28"/>
        </w:rPr>
        <w:t xml:space="preserve"> line in the itemized conference budget (page 5)</w:t>
      </w:r>
    </w:p>
    <w:p w14:paraId="4FA6CC15" w14:textId="6394DFB5" w:rsidR="005F2280" w:rsidRDefault="005F2280" w:rsidP="00735D34">
      <w:pPr>
        <w:pStyle w:val="ListParagraph"/>
        <w:numPr>
          <w:ilvl w:val="1"/>
          <w:numId w:val="1"/>
        </w:numPr>
        <w:rPr>
          <w:sz w:val="28"/>
          <w:szCs w:val="28"/>
        </w:rPr>
      </w:pPr>
      <w:r>
        <w:rPr>
          <w:sz w:val="28"/>
          <w:szCs w:val="28"/>
        </w:rPr>
        <w:t>The lines from the original adopted budget that aggregate expenses into categories have been removed from the chart at top; for reference, if you’d like to see those, that original budget is included on pp. 6-12</w:t>
      </w:r>
    </w:p>
    <w:p w14:paraId="16B8BCD0" w14:textId="447AB2FA" w:rsidR="00735D34" w:rsidRPr="0014662E" w:rsidRDefault="00735D34" w:rsidP="00735D34">
      <w:pPr>
        <w:pStyle w:val="ListParagraph"/>
        <w:numPr>
          <w:ilvl w:val="0"/>
          <w:numId w:val="1"/>
        </w:numPr>
        <w:rPr>
          <w:b/>
          <w:sz w:val="28"/>
          <w:szCs w:val="28"/>
        </w:rPr>
      </w:pPr>
      <w:r w:rsidRPr="0014662E">
        <w:rPr>
          <w:b/>
          <w:sz w:val="28"/>
          <w:szCs w:val="28"/>
        </w:rPr>
        <w:t>Efficient review suggestions</w:t>
      </w:r>
      <w:r w:rsidR="00317142" w:rsidRPr="0014662E">
        <w:rPr>
          <w:b/>
          <w:sz w:val="28"/>
          <w:szCs w:val="28"/>
        </w:rPr>
        <w:t xml:space="preserve"> </w:t>
      </w:r>
    </w:p>
    <w:p w14:paraId="0CD7C836" w14:textId="22EB5BDE" w:rsidR="00A26A30" w:rsidRDefault="00A26A30" w:rsidP="00A26A30">
      <w:pPr>
        <w:pStyle w:val="ListParagraph"/>
        <w:numPr>
          <w:ilvl w:val="1"/>
          <w:numId w:val="1"/>
        </w:numPr>
        <w:rPr>
          <w:sz w:val="28"/>
          <w:szCs w:val="28"/>
        </w:rPr>
      </w:pPr>
      <w:r>
        <w:rPr>
          <w:sz w:val="28"/>
          <w:szCs w:val="28"/>
        </w:rPr>
        <w:t>Focus on the items that comprise the bulk of the budget</w:t>
      </w:r>
    </w:p>
    <w:p w14:paraId="2EE7503B" w14:textId="71D8A406" w:rsidR="008921B7" w:rsidRDefault="008921B7" w:rsidP="008921B7">
      <w:pPr>
        <w:pStyle w:val="ListParagraph"/>
        <w:numPr>
          <w:ilvl w:val="2"/>
          <w:numId w:val="1"/>
        </w:numPr>
        <w:rPr>
          <w:sz w:val="28"/>
          <w:szCs w:val="28"/>
        </w:rPr>
      </w:pPr>
      <w:r>
        <w:rPr>
          <w:sz w:val="28"/>
          <w:szCs w:val="28"/>
        </w:rPr>
        <w:t>Clearly, the conference makes up the vast majority of our revenues AND expenses</w:t>
      </w:r>
    </w:p>
    <w:p w14:paraId="7AFDB368" w14:textId="38C28B83" w:rsidR="008921B7" w:rsidRDefault="008921B7" w:rsidP="008921B7">
      <w:pPr>
        <w:pStyle w:val="ListParagraph"/>
        <w:numPr>
          <w:ilvl w:val="2"/>
          <w:numId w:val="1"/>
        </w:numPr>
        <w:rPr>
          <w:sz w:val="28"/>
          <w:szCs w:val="28"/>
        </w:rPr>
      </w:pPr>
      <w:r>
        <w:rPr>
          <w:sz w:val="28"/>
          <w:szCs w:val="28"/>
        </w:rPr>
        <w:lastRenderedPageBreak/>
        <w:t>Top revenue categories</w:t>
      </w:r>
      <w:r w:rsidR="00643559">
        <w:rPr>
          <w:sz w:val="28"/>
          <w:szCs w:val="28"/>
        </w:rPr>
        <w:t xml:space="preserve"> </w:t>
      </w:r>
      <w:r w:rsidR="00643559" w:rsidRPr="00317142">
        <w:t>(</w:t>
      </w:r>
      <w:r w:rsidR="002564AC">
        <w:t xml:space="preserve">item numbers are </w:t>
      </w:r>
      <w:r w:rsidR="00643559">
        <w:t xml:space="preserve">in parentheses; </w:t>
      </w:r>
      <w:r w:rsidR="00643559" w:rsidRPr="00317142">
        <w:t>C = from conference budget on pp. 4-5)</w:t>
      </w:r>
    </w:p>
    <w:p w14:paraId="5777AB36" w14:textId="2EEDF962" w:rsidR="008921B7" w:rsidRPr="001D7CB2" w:rsidRDefault="00317142" w:rsidP="008921B7">
      <w:pPr>
        <w:pStyle w:val="ListParagraph"/>
        <w:numPr>
          <w:ilvl w:val="3"/>
          <w:numId w:val="1"/>
        </w:numPr>
      </w:pPr>
      <w:r w:rsidRPr="001D7CB2">
        <w:t>Conference registrations (C50181)</w:t>
      </w:r>
    </w:p>
    <w:p w14:paraId="43B26C35" w14:textId="22B12621" w:rsidR="00317142" w:rsidRPr="001D7CB2" w:rsidRDefault="00317142" w:rsidP="008921B7">
      <w:pPr>
        <w:pStyle w:val="ListParagraph"/>
        <w:numPr>
          <w:ilvl w:val="3"/>
          <w:numId w:val="1"/>
        </w:numPr>
      </w:pPr>
      <w:r w:rsidRPr="001D7CB2">
        <w:t>Conference exhibitors (C50182)</w:t>
      </w:r>
    </w:p>
    <w:p w14:paraId="01107DBC" w14:textId="76935853" w:rsidR="00317142" w:rsidRPr="001D7CB2" w:rsidRDefault="00643559" w:rsidP="008921B7">
      <w:pPr>
        <w:pStyle w:val="ListParagraph"/>
        <w:numPr>
          <w:ilvl w:val="3"/>
          <w:numId w:val="1"/>
        </w:numPr>
      </w:pPr>
      <w:r w:rsidRPr="001D7CB2">
        <w:t>Membership dues (2</w:t>
      </w:r>
      <w:r w:rsidR="00317142" w:rsidRPr="001D7CB2">
        <w:t>01)</w:t>
      </w:r>
    </w:p>
    <w:p w14:paraId="7A84ED0E" w14:textId="278E8C82" w:rsidR="00317142" w:rsidRPr="001D7CB2" w:rsidRDefault="00317142" w:rsidP="008921B7">
      <w:pPr>
        <w:pStyle w:val="ListParagraph"/>
        <w:numPr>
          <w:ilvl w:val="3"/>
          <w:numId w:val="1"/>
        </w:numPr>
      </w:pPr>
      <w:r w:rsidRPr="001D7CB2">
        <w:t>Conference sponsors (C50184)</w:t>
      </w:r>
    </w:p>
    <w:p w14:paraId="1F197524" w14:textId="220FE958" w:rsidR="008921B7" w:rsidRDefault="008921B7" w:rsidP="008921B7">
      <w:pPr>
        <w:pStyle w:val="ListParagraph"/>
        <w:numPr>
          <w:ilvl w:val="2"/>
          <w:numId w:val="1"/>
        </w:numPr>
        <w:rPr>
          <w:sz w:val="28"/>
          <w:szCs w:val="28"/>
        </w:rPr>
      </w:pPr>
      <w:r>
        <w:rPr>
          <w:sz w:val="28"/>
          <w:szCs w:val="28"/>
        </w:rPr>
        <w:t>Top expense categories</w:t>
      </w:r>
    </w:p>
    <w:p w14:paraId="2918C5A7" w14:textId="361CB86B" w:rsidR="008921B7" w:rsidRPr="001D7CB2" w:rsidRDefault="009B5F88" w:rsidP="008921B7">
      <w:pPr>
        <w:pStyle w:val="ListParagraph"/>
        <w:numPr>
          <w:ilvl w:val="3"/>
          <w:numId w:val="1"/>
        </w:numPr>
      </w:pPr>
      <w:r w:rsidRPr="001D7CB2">
        <w:t>Executive Director compensation (6203)</w:t>
      </w:r>
    </w:p>
    <w:p w14:paraId="338503D5" w14:textId="10F0E1B1" w:rsidR="009D694E" w:rsidRPr="001D7CB2" w:rsidRDefault="009D694E" w:rsidP="008921B7">
      <w:pPr>
        <w:pStyle w:val="ListParagraph"/>
        <w:numPr>
          <w:ilvl w:val="3"/>
          <w:numId w:val="1"/>
        </w:numPr>
      </w:pPr>
      <w:r w:rsidRPr="001D7CB2">
        <w:t>Board meetings (3041-44)</w:t>
      </w:r>
    </w:p>
    <w:p w14:paraId="0D1FD58A" w14:textId="251D3E82" w:rsidR="00492848" w:rsidRPr="001D7CB2" w:rsidRDefault="00492848" w:rsidP="008921B7">
      <w:pPr>
        <w:pStyle w:val="ListParagraph"/>
        <w:numPr>
          <w:ilvl w:val="3"/>
          <w:numId w:val="1"/>
        </w:numPr>
      </w:pPr>
      <w:r w:rsidRPr="001D7CB2">
        <w:t>Leg analyst stipend (6004)</w:t>
      </w:r>
    </w:p>
    <w:p w14:paraId="194FCAA1" w14:textId="3C3F6E58" w:rsidR="00492848" w:rsidRPr="001D7CB2" w:rsidRDefault="00492848" w:rsidP="008921B7">
      <w:pPr>
        <w:pStyle w:val="ListParagraph"/>
        <w:numPr>
          <w:ilvl w:val="3"/>
          <w:numId w:val="1"/>
        </w:numPr>
      </w:pPr>
      <w:r w:rsidRPr="001D7CB2">
        <w:t>Accounting fees (625)</w:t>
      </w:r>
    </w:p>
    <w:p w14:paraId="040EF894" w14:textId="4D62FEDC" w:rsidR="009D694E" w:rsidRPr="001D7CB2" w:rsidRDefault="009D694E" w:rsidP="008921B7">
      <w:pPr>
        <w:pStyle w:val="ListParagraph"/>
        <w:numPr>
          <w:ilvl w:val="3"/>
          <w:numId w:val="1"/>
        </w:numPr>
      </w:pPr>
      <w:r w:rsidRPr="001D7CB2">
        <w:t>Credit card fees (6001)</w:t>
      </w:r>
    </w:p>
    <w:p w14:paraId="6878F89D" w14:textId="3DBA83E6" w:rsidR="00492848" w:rsidRPr="001D7CB2" w:rsidRDefault="00492848" w:rsidP="008921B7">
      <w:pPr>
        <w:pStyle w:val="ListParagraph"/>
        <w:numPr>
          <w:ilvl w:val="3"/>
          <w:numId w:val="1"/>
        </w:numPr>
      </w:pPr>
      <w:r w:rsidRPr="001D7CB2">
        <w:t>Local council reimbursements (6802)</w:t>
      </w:r>
    </w:p>
    <w:p w14:paraId="3762DF2E" w14:textId="6718AC45" w:rsidR="00492848" w:rsidRPr="001D7CB2" w:rsidRDefault="00492848" w:rsidP="008921B7">
      <w:pPr>
        <w:pStyle w:val="ListParagraph"/>
        <w:numPr>
          <w:ilvl w:val="3"/>
          <w:numId w:val="1"/>
        </w:numPr>
      </w:pPr>
      <w:r w:rsidRPr="001D7CB2">
        <w:t>Wild Apricot (6010)</w:t>
      </w:r>
    </w:p>
    <w:p w14:paraId="06CE771D" w14:textId="08CEBAD1" w:rsidR="006C171A" w:rsidRPr="001D7CB2" w:rsidRDefault="006C171A" w:rsidP="008921B7">
      <w:pPr>
        <w:pStyle w:val="ListParagraph"/>
        <w:numPr>
          <w:ilvl w:val="3"/>
          <w:numId w:val="1"/>
        </w:numPr>
      </w:pPr>
      <w:r w:rsidRPr="001D7CB2">
        <w:t>Task Forces/Special Projects (3037)</w:t>
      </w:r>
    </w:p>
    <w:p w14:paraId="7DE18783" w14:textId="04AA1A78" w:rsidR="006C171A" w:rsidRPr="001D7CB2" w:rsidRDefault="006C171A" w:rsidP="008921B7">
      <w:pPr>
        <w:pStyle w:val="ListParagraph"/>
        <w:numPr>
          <w:ilvl w:val="3"/>
          <w:numId w:val="1"/>
        </w:numPr>
      </w:pPr>
      <w:r w:rsidRPr="001D7CB2">
        <w:t xml:space="preserve">Conference: catering, A/V-internet, Curtin (booths), keynote speakers, </w:t>
      </w:r>
      <w:proofErr w:type="spellStart"/>
      <w:r w:rsidRPr="001D7CB2">
        <w:t>Sched</w:t>
      </w:r>
      <w:proofErr w:type="spellEnd"/>
      <w:r w:rsidRPr="001D7CB2">
        <w:t>, printed program</w:t>
      </w:r>
    </w:p>
    <w:p w14:paraId="4D286D06" w14:textId="055648E6" w:rsidR="00A26A30" w:rsidRDefault="00A26A30" w:rsidP="00A26A30">
      <w:pPr>
        <w:pStyle w:val="ListParagraph"/>
        <w:numPr>
          <w:ilvl w:val="1"/>
          <w:numId w:val="1"/>
        </w:numPr>
        <w:rPr>
          <w:sz w:val="28"/>
          <w:szCs w:val="28"/>
        </w:rPr>
      </w:pPr>
      <w:r>
        <w:rPr>
          <w:sz w:val="28"/>
          <w:szCs w:val="28"/>
        </w:rPr>
        <w:t>Once you’ve done that, if you wish, look for items (revenues OR expenses) where column 6 is higher than 100% or significantly lower – many of these are for very small allocations, but still may be worth considering, particularly if they are budgeted for July/August (see next)</w:t>
      </w:r>
    </w:p>
    <w:p w14:paraId="48A2CE68" w14:textId="0902FB99" w:rsidR="00EE41DC" w:rsidRDefault="00EE41DC" w:rsidP="00EE41DC">
      <w:pPr>
        <w:pStyle w:val="ListParagraph"/>
        <w:numPr>
          <w:ilvl w:val="2"/>
          <w:numId w:val="1"/>
        </w:numPr>
        <w:rPr>
          <w:sz w:val="28"/>
          <w:szCs w:val="28"/>
        </w:rPr>
      </w:pPr>
      <w:r>
        <w:rPr>
          <w:sz w:val="28"/>
          <w:szCs w:val="28"/>
        </w:rPr>
        <w:t xml:space="preserve">E.G. revenues: </w:t>
      </w:r>
      <w:r w:rsidR="00A431CE" w:rsidRPr="001D7CB2">
        <w:rPr>
          <w:b/>
          <w:i/>
        </w:rPr>
        <w:t>high</w:t>
      </w:r>
      <w:r w:rsidR="00A431CE" w:rsidRPr="001D7CB2">
        <w:t xml:space="preserve"> = </w:t>
      </w:r>
      <w:r w:rsidRPr="001D7CB2">
        <w:t>membership dues, conference exhibitors, conference sponsors</w:t>
      </w:r>
      <w:r w:rsidR="00EC5EBE" w:rsidRPr="001D7CB2">
        <w:t xml:space="preserve">; </w:t>
      </w:r>
      <w:r w:rsidR="00EC5EBE" w:rsidRPr="001D7CB2">
        <w:rPr>
          <w:b/>
          <w:i/>
        </w:rPr>
        <w:t>low</w:t>
      </w:r>
      <w:r w:rsidR="00EC5EBE" w:rsidRPr="001D7CB2">
        <w:t xml:space="preserve"> = </w:t>
      </w:r>
      <w:r w:rsidR="00624F40" w:rsidRPr="001D7CB2">
        <w:t xml:space="preserve">conference registrations, </w:t>
      </w:r>
      <w:r w:rsidR="00EC5EBE" w:rsidRPr="001D7CB2">
        <w:t>special event fees</w:t>
      </w:r>
      <w:r w:rsidR="005772E4" w:rsidRPr="001D7CB2">
        <w:t xml:space="preserve"> (C501851-57)</w:t>
      </w:r>
    </w:p>
    <w:p w14:paraId="28D5434D" w14:textId="3F0EF194" w:rsidR="00EE41DC" w:rsidRPr="00735D34" w:rsidRDefault="00EE41DC" w:rsidP="00EE41DC">
      <w:pPr>
        <w:pStyle w:val="ListParagraph"/>
        <w:numPr>
          <w:ilvl w:val="2"/>
          <w:numId w:val="1"/>
        </w:numPr>
        <w:rPr>
          <w:sz w:val="28"/>
          <w:szCs w:val="28"/>
        </w:rPr>
      </w:pPr>
      <w:r>
        <w:rPr>
          <w:sz w:val="28"/>
          <w:szCs w:val="28"/>
        </w:rPr>
        <w:t xml:space="preserve">E.G. expenses: </w:t>
      </w:r>
      <w:r w:rsidR="00A431CE" w:rsidRPr="001D7CB2">
        <w:rPr>
          <w:b/>
          <w:i/>
        </w:rPr>
        <w:t>high</w:t>
      </w:r>
      <w:r w:rsidR="00E62B20" w:rsidRPr="001D7CB2">
        <w:t xml:space="preserve"> = accounting, credit card fees, </w:t>
      </w:r>
      <w:r w:rsidR="00E418F0" w:rsidRPr="001D7CB2">
        <w:t xml:space="preserve">conference keynote speakers, </w:t>
      </w:r>
      <w:r w:rsidR="00E62B20" w:rsidRPr="001D7CB2">
        <w:t>Wild Apricot, supplies</w:t>
      </w:r>
      <w:r w:rsidR="00A431CE" w:rsidRPr="001D7CB2">
        <w:t xml:space="preserve">; </w:t>
      </w:r>
      <w:r w:rsidR="00A431CE" w:rsidRPr="001D7CB2">
        <w:rPr>
          <w:b/>
          <w:i/>
        </w:rPr>
        <w:t>low</w:t>
      </w:r>
      <w:r w:rsidR="00A431CE" w:rsidRPr="001D7CB2">
        <w:t xml:space="preserve"> = </w:t>
      </w:r>
      <w:r w:rsidR="005772E4" w:rsidRPr="001D7CB2">
        <w:t xml:space="preserve">Board meetings, </w:t>
      </w:r>
      <w:r w:rsidR="00E55E54" w:rsidRPr="001D7CB2">
        <w:t xml:space="preserve">insurance (3072), </w:t>
      </w:r>
      <w:r w:rsidR="00C6293C" w:rsidRPr="001D7CB2">
        <w:t xml:space="preserve">individual </w:t>
      </w:r>
      <w:r w:rsidR="00E62B20" w:rsidRPr="001D7CB2">
        <w:t xml:space="preserve">EC </w:t>
      </w:r>
      <w:r w:rsidR="00C6293C" w:rsidRPr="001D7CB2">
        <w:t>allocation</w:t>
      </w:r>
      <w:r w:rsidR="00E62B20" w:rsidRPr="001D7CB2">
        <w:t>s</w:t>
      </w:r>
      <w:r w:rsidR="00C6293C" w:rsidRPr="001D7CB2">
        <w:t xml:space="preserve"> (3011-3016)</w:t>
      </w:r>
      <w:r w:rsidR="00A431CE" w:rsidRPr="001D7CB2">
        <w:t>,</w:t>
      </w:r>
      <w:r w:rsidR="00E55E54" w:rsidRPr="001D7CB2">
        <w:t xml:space="preserve"> consultant support (6012)</w:t>
      </w:r>
      <w:r w:rsidR="00E418F0" w:rsidRPr="001D7CB2">
        <w:t>, advertising (several)</w:t>
      </w:r>
    </w:p>
    <w:p w14:paraId="48303168" w14:textId="77777777" w:rsidR="00735D34" w:rsidRDefault="00735D34" w:rsidP="00735D34">
      <w:pPr>
        <w:rPr>
          <w:sz w:val="28"/>
          <w:szCs w:val="28"/>
        </w:rPr>
      </w:pPr>
    </w:p>
    <w:p w14:paraId="246862AF" w14:textId="7FE0ABE3" w:rsidR="00481C19" w:rsidRPr="00481C19" w:rsidRDefault="00481C19" w:rsidP="00735D34">
      <w:pPr>
        <w:rPr>
          <w:b/>
          <w:sz w:val="28"/>
          <w:szCs w:val="28"/>
        </w:rPr>
      </w:pPr>
      <w:r w:rsidRPr="00481C19">
        <w:rPr>
          <w:b/>
          <w:sz w:val="28"/>
          <w:szCs w:val="28"/>
        </w:rPr>
        <w:t>For the July-August budget…</w:t>
      </w:r>
    </w:p>
    <w:p w14:paraId="692F3007" w14:textId="3D113075" w:rsidR="00481C19" w:rsidRDefault="00481C19" w:rsidP="00481C19">
      <w:pPr>
        <w:pStyle w:val="ListParagraph"/>
        <w:numPr>
          <w:ilvl w:val="0"/>
          <w:numId w:val="2"/>
        </w:numPr>
        <w:rPr>
          <w:sz w:val="28"/>
          <w:szCs w:val="28"/>
        </w:rPr>
      </w:pPr>
      <w:r>
        <w:rPr>
          <w:sz w:val="28"/>
          <w:szCs w:val="28"/>
        </w:rPr>
        <w:t>Only items with expected expenditure in July/August are included; all other items are shaded out</w:t>
      </w:r>
    </w:p>
    <w:p w14:paraId="54FE5BB6" w14:textId="18103150" w:rsidR="00481C19" w:rsidRDefault="00481C19" w:rsidP="00CD3AD4">
      <w:pPr>
        <w:pStyle w:val="ListParagraph"/>
        <w:numPr>
          <w:ilvl w:val="1"/>
          <w:numId w:val="2"/>
        </w:numPr>
        <w:rPr>
          <w:sz w:val="28"/>
          <w:szCs w:val="28"/>
        </w:rPr>
      </w:pPr>
      <w:r>
        <w:rPr>
          <w:sz w:val="28"/>
          <w:szCs w:val="28"/>
        </w:rPr>
        <w:t>One exception: contracts for Leg Analyst, Webmaster and SSR Editor are included in their entirety so that they can be approved with full allocations approved (</w:t>
      </w:r>
      <w:proofErr w:type="spellStart"/>
      <w:r>
        <w:rPr>
          <w:sz w:val="28"/>
          <w:szCs w:val="28"/>
        </w:rPr>
        <w:t>espected</w:t>
      </w:r>
      <w:proofErr w:type="spellEnd"/>
      <w:r>
        <w:rPr>
          <w:sz w:val="28"/>
          <w:szCs w:val="28"/>
        </w:rPr>
        <w:t xml:space="preserve"> July/August expenditure for each is shown in parentheses)</w:t>
      </w:r>
    </w:p>
    <w:p w14:paraId="577CBC17" w14:textId="0C2CD61C" w:rsidR="00481C19" w:rsidRDefault="00481C19" w:rsidP="00481C19">
      <w:pPr>
        <w:pStyle w:val="ListParagraph"/>
        <w:numPr>
          <w:ilvl w:val="0"/>
          <w:numId w:val="2"/>
        </w:numPr>
        <w:rPr>
          <w:sz w:val="28"/>
          <w:szCs w:val="28"/>
        </w:rPr>
      </w:pPr>
      <w:r>
        <w:rPr>
          <w:sz w:val="28"/>
          <w:szCs w:val="28"/>
        </w:rPr>
        <w:t xml:space="preserve">No revenues are projected, as it is very hard to predict them </w:t>
      </w:r>
      <w:r>
        <w:rPr>
          <w:i/>
          <w:sz w:val="28"/>
          <w:szCs w:val="28"/>
        </w:rPr>
        <w:t xml:space="preserve">and </w:t>
      </w:r>
      <w:r>
        <w:rPr>
          <w:sz w:val="28"/>
          <w:szCs w:val="28"/>
        </w:rPr>
        <w:t>it is unlikely we’ll get very many in July/August; the rationale is that the bank balance will easily manage the expenditures, and the final annual budget to be approved at the August meeting will be balanced, including all of these items</w:t>
      </w:r>
    </w:p>
    <w:p w14:paraId="07BFA9BF" w14:textId="00ACA050" w:rsidR="001C3B95" w:rsidRPr="00481C19" w:rsidRDefault="001C3B95" w:rsidP="00481C19">
      <w:pPr>
        <w:pStyle w:val="ListParagraph"/>
        <w:numPr>
          <w:ilvl w:val="0"/>
          <w:numId w:val="2"/>
        </w:numPr>
        <w:rPr>
          <w:sz w:val="28"/>
          <w:szCs w:val="28"/>
        </w:rPr>
      </w:pPr>
      <w:r>
        <w:rPr>
          <w:sz w:val="28"/>
          <w:szCs w:val="28"/>
        </w:rPr>
        <w:t>EC will consider ED Compensation (6203) before Board meeting</w:t>
      </w:r>
    </w:p>
    <w:sectPr w:rsidR="001C3B95" w:rsidRPr="00481C19" w:rsidSect="00481C19">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14023"/>
    <w:multiLevelType w:val="hybridMultilevel"/>
    <w:tmpl w:val="842C1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F1C65"/>
    <w:multiLevelType w:val="hybridMultilevel"/>
    <w:tmpl w:val="035E8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34"/>
    <w:rsid w:val="0014662E"/>
    <w:rsid w:val="001C3B95"/>
    <w:rsid w:val="001D7CB2"/>
    <w:rsid w:val="002564AC"/>
    <w:rsid w:val="00317142"/>
    <w:rsid w:val="00481C19"/>
    <w:rsid w:val="00492848"/>
    <w:rsid w:val="005772E4"/>
    <w:rsid w:val="005F2280"/>
    <w:rsid w:val="00612F1F"/>
    <w:rsid w:val="00624F40"/>
    <w:rsid w:val="00643559"/>
    <w:rsid w:val="00664107"/>
    <w:rsid w:val="006C171A"/>
    <w:rsid w:val="00735D34"/>
    <w:rsid w:val="008921B7"/>
    <w:rsid w:val="009B5F88"/>
    <w:rsid w:val="009D694E"/>
    <w:rsid w:val="00A26A30"/>
    <w:rsid w:val="00A431CE"/>
    <w:rsid w:val="00C6293C"/>
    <w:rsid w:val="00C84E5D"/>
    <w:rsid w:val="00CD3AD4"/>
    <w:rsid w:val="00DE0274"/>
    <w:rsid w:val="00E07554"/>
    <w:rsid w:val="00E418F0"/>
    <w:rsid w:val="00E55E54"/>
    <w:rsid w:val="00E62B20"/>
    <w:rsid w:val="00EC5EBE"/>
    <w:rsid w:val="00EE4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3E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Macintosh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Black</dc:creator>
  <cp:keywords/>
  <dc:description/>
  <cp:lastModifiedBy>Avi Black</cp:lastModifiedBy>
  <cp:revision>2</cp:revision>
  <dcterms:created xsi:type="dcterms:W3CDTF">2018-05-18T19:13:00Z</dcterms:created>
  <dcterms:modified xsi:type="dcterms:W3CDTF">2018-05-18T19:13:00Z</dcterms:modified>
</cp:coreProperties>
</file>